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9104F" w14:textId="314EEFB5" w:rsidR="00693119" w:rsidRPr="00C2552A" w:rsidRDefault="001B6D23" w:rsidP="004040E5">
      <w:pPr>
        <w:pStyle w:val="Tytu"/>
        <w:spacing w:before="0" w:line="276" w:lineRule="auto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4040E5">
      <w:pPr>
        <w:spacing w:line="276" w:lineRule="auto"/>
        <w:rPr>
          <w:rFonts w:ascii="Open Sans Light" w:hAnsi="Open Sans Light" w:cs="Open Sans Light"/>
        </w:rPr>
      </w:pPr>
    </w:p>
    <w:p w14:paraId="357B944A" w14:textId="27FA2DDD" w:rsidR="008F049C" w:rsidRPr="00C2552A" w:rsidRDefault="00E83768" w:rsidP="004040E5">
      <w:pPr>
        <w:pStyle w:val="Tytu"/>
        <w:spacing w:before="0"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  <w:r w:rsidR="004040E5">
        <w:rPr>
          <w:rFonts w:ascii="Open Sans Light" w:hAnsi="Open Sans Light" w:cs="Open Sans Light"/>
        </w:rPr>
        <w:br/>
      </w:r>
      <w:r w:rsidR="000E0D1E"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4040E5">
      <w:pPr>
        <w:spacing w:line="276" w:lineRule="auto"/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4040E5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77777777" w:rsidR="0063566D" w:rsidRPr="00C2552A" w:rsidRDefault="0063566D" w:rsidP="004040E5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4040E5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77777777" w:rsidR="00021A0C" w:rsidRPr="00C2552A" w:rsidRDefault="008F049C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FENX.01.04 Gospodarka odpadami oraz gospodarka o obiegu zamkniętym</w:t>
      </w:r>
    </w:p>
    <w:p w14:paraId="13C09D50" w14:textId="77777777" w:rsidR="00021A0C" w:rsidRPr="00C2552A" w:rsidRDefault="00021A0C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D92C1C" w:rsidRPr="00C2552A">
        <w:rPr>
          <w:rFonts w:ascii="Open Sans Light" w:hAnsi="Open Sans Light" w:cs="Open Sans Light"/>
          <w:sz w:val="22"/>
          <w:szCs w:val="22"/>
        </w:rPr>
        <w:t>Systemy selektywnego zbierania odpadów komunalnych uwzględniające rozwiązania dotyczące zapobiegania powstawaniu odpadów, w tym ponowne użycie.</w:t>
      </w:r>
    </w:p>
    <w:p w14:paraId="5F5FC18E" w14:textId="77777777" w:rsidR="0076363B" w:rsidRPr="00C2552A" w:rsidRDefault="0076363B" w:rsidP="004040E5">
      <w:pPr>
        <w:spacing w:line="276" w:lineRule="auto"/>
        <w:rPr>
          <w:rFonts w:ascii="Open Sans Light" w:hAnsi="Open Sans Light" w:cs="Open Sans Light"/>
        </w:rPr>
      </w:pPr>
    </w:p>
    <w:p w14:paraId="779146F7" w14:textId="77777777" w:rsidR="008F049C" w:rsidRPr="00C2552A" w:rsidRDefault="000E0D1E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14A9741" w14:textId="77777777" w:rsidR="00C82E55" w:rsidRPr="00C2552A" w:rsidRDefault="00C82E55" w:rsidP="004040E5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4040E5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4040E5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4040E5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4040E5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1299D32E" w14:textId="43BE37A6" w:rsidR="004040E5" w:rsidRDefault="004040E5">
      <w:pPr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br w:type="page"/>
      </w:r>
    </w:p>
    <w:p w14:paraId="4B9361DC" w14:textId="77777777" w:rsidR="00532415" w:rsidRPr="00D44DC8" w:rsidRDefault="00592FE4" w:rsidP="004040E5">
      <w:pPr>
        <w:spacing w:line="276" w:lineRule="auto"/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lastRenderedPageBreak/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4040E5">
      <w:pPr>
        <w:spacing w:line="276" w:lineRule="auto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3652720" w14:textId="77777777" w:rsidR="00B623E7" w:rsidRPr="00D44DC8" w:rsidRDefault="00B623E7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A9AF39C" w14:textId="77777777" w:rsidR="00B623E7" w:rsidRPr="00D44DC8" w:rsidRDefault="00B623E7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77777777" w:rsidR="00A24CF0" w:rsidRPr="00D44DC8" w:rsidRDefault="00CB4B5F" w:rsidP="004040E5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3C77C75" w14:textId="77777777" w:rsidTr="00375C8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29A8B0A7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478DBE39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375C8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4040E5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9F290CC" w14:textId="77777777" w:rsidR="00927ADD" w:rsidRPr="00D44DC8" w:rsidRDefault="00927AD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9A9B02E" w14:textId="77777777" w:rsidR="00927ADD" w:rsidRPr="00D44DC8" w:rsidRDefault="00927AD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3F994E9" w14:textId="77777777" w:rsidR="00143C0E" w:rsidRPr="00D44DC8" w:rsidRDefault="00143C0E" w:rsidP="004040E5">
      <w:pPr>
        <w:spacing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8D26F76" w14:textId="77777777" w:rsidR="00805807" w:rsidRPr="00D44DC8" w:rsidRDefault="00805807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B8369EF" w14:textId="77777777" w:rsidR="00805807" w:rsidRPr="00D44DC8" w:rsidRDefault="00805807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4040E5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4040E5">
            <w:pPr>
              <w:pStyle w:val="Tekstkomentarza"/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4040E5">
      <w:pPr>
        <w:spacing w:line="276" w:lineRule="auto"/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77777777" w:rsidR="00433A0C" w:rsidRPr="00D44DC8" w:rsidRDefault="00246485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4040E5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4040E5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3DAA6EB7" w14:textId="77777777" w:rsidR="00F835F7" w:rsidRPr="00D44DC8" w:rsidRDefault="00F835F7" w:rsidP="004040E5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4040E5">
      <w:pPr>
        <w:pStyle w:val="Akapitzlist"/>
        <w:spacing w:line="276" w:lineRule="auto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77777777" w:rsidR="00AF5C56" w:rsidRPr="00D44DC8" w:rsidRDefault="00246485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4040E5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D32BB00" w14:textId="77777777" w:rsidR="00AF5C56" w:rsidRPr="00D44DC8" w:rsidRDefault="00AF5C56" w:rsidP="004040E5">
      <w:pPr>
        <w:spacing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E3CE648" w14:textId="77777777" w:rsidR="00EB715F" w:rsidRPr="00D44DC8" w:rsidRDefault="00EB715F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77777777" w:rsidR="006114C6" w:rsidRPr="00D44DC8" w:rsidRDefault="00D836AC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4040E5">
            <w:pPr>
              <w:spacing w:line="276" w:lineRule="auto"/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późn. zm.); - art. 12 ust. 1 pkt 1 ustawy z dnia 15 czerwca 2012 r. o skutkach powierzania wykonywania pracy cudzoziemcom przebywającym wbrew przepisom na terytorium Rzeczypospolitej Polskiej (Dz. U. z 2021 poz. 1745); TAK/NIE - art.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późn.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46C08A" w14:textId="77777777" w:rsidR="00840C16" w:rsidRPr="00D44DC8" w:rsidRDefault="00840C16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3B5544C0" w14:textId="77777777" w:rsidR="00D836AC" w:rsidRPr="00D44DC8" w:rsidRDefault="00D836AC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13B52B0" w14:textId="77777777" w:rsidR="00852428" w:rsidRPr="00D44DC8" w:rsidRDefault="00852428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BE01B14" w14:textId="77777777" w:rsidR="00F5757B" w:rsidRPr="00D44DC8" w:rsidRDefault="00F5757B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7777777" w:rsidR="00840C16" w:rsidRPr="00D44DC8" w:rsidRDefault="0075553E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4040E5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Sprawdzane są odpowiedzi wnioskodawcy na pytania zawarte we wniosku o Dofinansowanie dotyczące braku podwójnego finansowania przedsięwzięć z różnych zewnętrznych środków publicznych, w tym europejskich.</w:t>
            </w:r>
          </w:p>
          <w:p w14:paraId="164C0A43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4"/>
    </w:tbl>
    <w:p w14:paraId="503D6D1E" w14:textId="77777777" w:rsidR="00F216E3" w:rsidRPr="00D44DC8" w:rsidRDefault="00F216E3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F8FFDF3" w14:textId="77777777" w:rsidR="00F216E3" w:rsidRPr="00D44DC8" w:rsidRDefault="00F216E3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  <w:t>Gotowość techniczna projektu do realizacji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65"/>
        <w:gridCol w:w="894"/>
        <w:gridCol w:w="4536"/>
        <w:gridCol w:w="1134"/>
        <w:gridCol w:w="456"/>
        <w:gridCol w:w="720"/>
        <w:gridCol w:w="720"/>
        <w:gridCol w:w="655"/>
      </w:tblGrid>
      <w:tr w:rsidR="00F216E3" w:rsidRPr="00D44DC8" w14:paraId="6FB826B9" w14:textId="77777777" w:rsidTr="004040E5">
        <w:tc>
          <w:tcPr>
            <w:tcW w:w="959" w:type="dxa"/>
            <w:gridSpan w:val="2"/>
            <w:shd w:val="clear" w:color="auto" w:fill="E2EFD9"/>
            <w:vAlign w:val="center"/>
          </w:tcPr>
          <w:p w14:paraId="320E3C41" w14:textId="77777777" w:rsidR="00F216E3" w:rsidRPr="00D44DC8" w:rsidRDefault="00F216E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77777777" w:rsidR="00F216E3" w:rsidRPr="00D44DC8" w:rsidRDefault="00F216E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4040E5">
        <w:trPr>
          <w:trHeight w:val="1652"/>
        </w:trPr>
        <w:tc>
          <w:tcPr>
            <w:tcW w:w="959" w:type="dxa"/>
            <w:gridSpan w:val="2"/>
            <w:vMerge w:val="restart"/>
          </w:tcPr>
          <w:p w14:paraId="06B28CE2" w14:textId="77777777" w:rsidR="0063566D" w:rsidRPr="00D44DC8" w:rsidRDefault="0063566D" w:rsidP="004040E5">
            <w:pPr>
              <w:numPr>
                <w:ilvl w:val="0"/>
                <w:numId w:val="8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0AD36F61" w14:textId="77777777" w:rsidR="0063566D" w:rsidRPr="00D44DC8" w:rsidRDefault="0063566D" w:rsidP="004040E5">
            <w:pPr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Czy występuje zgodność z miejscowym planem zagospodarowania przestrzennego (mpzp), a w przypadku braku mpzp – </w:t>
            </w: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 xml:space="preserve">z ostateczną decyzją o warunkach zabudowy i zagospodarowania terenu (decyzja </w:t>
            </w: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>o warunkach zabudowy lub ostateczną decyzja o lokalizacji inwestycji celu publicznego);</w:t>
            </w:r>
          </w:p>
          <w:p w14:paraId="6C649555" w14:textId="77777777" w:rsidR="0063566D" w:rsidRPr="00D44DC8" w:rsidRDefault="0063566D" w:rsidP="004040E5">
            <w:pPr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Czy w przypadku zadań realizowanych zgodnie z „Warunkami Kontraktowymi dla Budowy - dla robót inżynieryjno-budowlanych projektowanych przez zamawiającego” tzw. Czerwona Książka FIDIC (lub równoważnymi) – wartość zadań inwestycyjnych, dla których wydano ostateczną decyzję w/s pozwolenia na budowę albo dokonano zgłoszenia budowy lub robót budowlanych, wobec którego organ administracji architektoniczno-budowlanej nie wniósł sprzeciwu oraz sporządzono dokumentację wymaganą w związku z postępowaniem w sprawie udzielenia zamówienia (SIWZ i ogłoszenie) dla kontraktów na roboty w stosunku do całkowitej wartości zadań planowanych do realizacji (wymagających pozwolenia na budowę albo zgłoszenia budowy lub robót budowlanych) wg. warunków kontraktowych „Czerwonej Książki FIDIC” (lub równoważnej) – min. 40 %;</w:t>
            </w:r>
          </w:p>
          <w:p w14:paraId="69C1C773" w14:textId="77777777" w:rsidR="0063566D" w:rsidRPr="00D44DC8" w:rsidRDefault="0063566D" w:rsidP="004040E5">
            <w:pPr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Czy w przypadku zadań realizowanych zgodnie z „Warunkami Kontraktowymi dla Urządzeń oraz Projektowania i Budowy - dla urządzeń elektrycznych i mechanicznych oraz robót inżynieryjnych i budowlanych projektowanych przez wykonawcę” tzw. Żółta Książka FIDIC (lub równoważnymi) – posiadanie dokumentacji wymaganej w związku z postępowaniem w sprawie udzielenia zamówienia (SIWZ i ogłoszenie) dla wszystkich zadań realizowanych wg Żółtej Książki FIDIC (lub równoważnej);</w:t>
            </w:r>
          </w:p>
          <w:p w14:paraId="4A0D846F" w14:textId="77777777" w:rsidR="0063566D" w:rsidRPr="00D44DC8" w:rsidRDefault="0063566D" w:rsidP="004040E5">
            <w:pPr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Czy w przypadku zadań realizowanych </w:t>
            </w: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br/>
              <w:t>w ramach partnerstwa publiczno-prywatnego – posiadanie dokumentacji niezbędnej do rozpoczęcia postępowania mającego na celu wybór partnera prywatnego.</w:t>
            </w:r>
          </w:p>
          <w:p w14:paraId="039E6142" w14:textId="77777777" w:rsidR="0063566D" w:rsidRPr="00D44DC8" w:rsidRDefault="0063566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6E05C6AA" w14:textId="77777777" w:rsidR="0063566D" w:rsidRPr="00D44DC8" w:rsidRDefault="0063566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6EA34F9B" w14:textId="77777777" w:rsidR="0063566D" w:rsidRPr="00D44DC8" w:rsidRDefault="0063566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Ocena „Tak” przysługuje, gdy łącznie spełnione są warunki z </w:t>
            </w:r>
            <w:proofErr w:type="spellStart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punktora</w:t>
            </w:r>
            <w:proofErr w:type="spellEnd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pierwszego i każdego spośród pozostałych punktorów, których zapisy mają zastosowanie do danego wniosku.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</w:r>
          </w:p>
          <w:p w14:paraId="0A31E439" w14:textId="77777777" w:rsidR="0063566D" w:rsidRPr="00D44DC8" w:rsidRDefault="0063566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Pozytywna ocena, obok spełnienia wymogów określonych w </w:t>
            </w:r>
            <w:proofErr w:type="spellStart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punktorze</w:t>
            </w:r>
            <w:proofErr w:type="spellEnd"/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pierwszym, wymaga również spełnienia wymogów z co najmniej jednego spośród punktorów drugiego i trzeciego.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4040E5">
        <w:trPr>
          <w:trHeight w:val="544"/>
        </w:trPr>
        <w:tc>
          <w:tcPr>
            <w:tcW w:w="959" w:type="dxa"/>
            <w:gridSpan w:val="2"/>
            <w:vMerge/>
          </w:tcPr>
          <w:p w14:paraId="10EAEA19" w14:textId="77777777" w:rsidR="0063566D" w:rsidRPr="00D44DC8" w:rsidRDefault="0063566D" w:rsidP="004040E5">
            <w:pPr>
              <w:numPr>
                <w:ilvl w:val="0"/>
                <w:numId w:val="8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13D7" w14:textId="77777777" w:rsidR="0063566D" w:rsidRPr="00D44DC8" w:rsidRDefault="0063566D" w:rsidP="004040E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F22E6" w:rsidRPr="00C2552A" w14:paraId="5948DAA1" w14:textId="77777777" w:rsidTr="004040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65" w:type="dxa"/>
          <w:wAfter w:w="655" w:type="dxa"/>
        </w:trPr>
        <w:tc>
          <w:tcPr>
            <w:tcW w:w="7020" w:type="dxa"/>
            <w:gridSpan w:val="4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4040E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4040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65" w:type="dxa"/>
          <w:wAfter w:w="655" w:type="dxa"/>
          <w:trHeight w:val="671"/>
        </w:trPr>
        <w:tc>
          <w:tcPr>
            <w:tcW w:w="7020" w:type="dxa"/>
            <w:gridSpan w:val="4"/>
          </w:tcPr>
          <w:p w14:paraId="5AF8431B" w14:textId="77777777" w:rsidR="005F22E6" w:rsidRPr="00C2552A" w:rsidRDefault="005F22E6" w:rsidP="004040E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24616F4" w14:textId="77777777" w:rsidR="005F22E6" w:rsidRPr="00C2552A" w:rsidRDefault="005F22E6" w:rsidP="004040E5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5EB5E84" w14:textId="77777777" w:rsidR="005F22E6" w:rsidRPr="00C2552A" w:rsidRDefault="005F22E6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4040E5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4040E5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4040E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4040E5">
      <w:pPr>
        <w:pStyle w:val="Akapitzlist"/>
        <w:keepNext/>
        <w:spacing w:before="240" w:after="60" w:line="276" w:lineRule="auto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694AB" w14:textId="77777777" w:rsidR="000F07E2" w:rsidRDefault="000F07E2">
      <w:r>
        <w:separator/>
      </w:r>
    </w:p>
  </w:endnote>
  <w:endnote w:type="continuationSeparator" w:id="0">
    <w:p w14:paraId="287079DA" w14:textId="77777777" w:rsidR="000F07E2" w:rsidRDefault="000F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F404" w14:textId="77777777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7B7664" w:rsidRPr="007B7664">
      <w:rPr>
        <w:rFonts w:ascii="Calibri Light" w:hAnsi="Calibri Light"/>
        <w:noProof/>
        <w:sz w:val="28"/>
        <w:szCs w:val="28"/>
      </w:rPr>
      <w:t>6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F136A" w14:textId="77777777" w:rsidR="000F07E2" w:rsidRDefault="000F07E2">
      <w:r>
        <w:separator/>
      </w:r>
    </w:p>
  </w:footnote>
  <w:footnote w:type="continuationSeparator" w:id="0">
    <w:p w14:paraId="3EF8C79D" w14:textId="77777777" w:rsidR="000F07E2" w:rsidRDefault="000F07E2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094483">
    <w:abstractNumId w:val="2"/>
  </w:num>
  <w:num w:numId="2" w16cid:durableId="2064716403">
    <w:abstractNumId w:val="4"/>
  </w:num>
  <w:num w:numId="3" w16cid:durableId="22244426">
    <w:abstractNumId w:val="0"/>
  </w:num>
  <w:num w:numId="4" w16cid:durableId="581067092">
    <w:abstractNumId w:val="6"/>
  </w:num>
  <w:num w:numId="5" w16cid:durableId="236213283">
    <w:abstractNumId w:val="1"/>
  </w:num>
  <w:num w:numId="6" w16cid:durableId="405110643">
    <w:abstractNumId w:val="7"/>
  </w:num>
  <w:num w:numId="7" w16cid:durableId="543251826">
    <w:abstractNumId w:val="3"/>
  </w:num>
  <w:num w:numId="8" w16cid:durableId="700471847">
    <w:abstractNumId w:val="5"/>
  </w:num>
  <w:num w:numId="9" w16cid:durableId="113541310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07E2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0E5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DA7F-7818-418A-83C8-768EF33F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Janicka-Struska Agnieszka</cp:lastModifiedBy>
  <cp:revision>4</cp:revision>
  <cp:lastPrinted>2019-11-26T12:24:00Z</cp:lastPrinted>
  <dcterms:created xsi:type="dcterms:W3CDTF">2023-10-27T13:52:00Z</dcterms:created>
  <dcterms:modified xsi:type="dcterms:W3CDTF">2023-10-30T11:48:00Z</dcterms:modified>
</cp:coreProperties>
</file>